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7EBCF" w14:textId="77777777" w:rsidR="008E0DBA" w:rsidRDefault="008E0DBA" w:rsidP="008E0DBA">
      <w:pPr>
        <w:spacing w:after="0" w:line="240" w:lineRule="auto"/>
        <w:rPr>
          <w:rFonts w:ascii="Times New Roman" w:eastAsia="Times New Roman" w:hAnsi="Times New Roman" w:cs="Times New Roman"/>
          <w:sz w:val="24"/>
          <w:szCs w:val="24"/>
        </w:rPr>
      </w:pPr>
      <w:bookmarkStart w:id="0" w:name="_GoBack"/>
      <w:bookmarkEnd w:id="0"/>
      <w:r w:rsidRPr="008E0DBA">
        <w:rPr>
          <w:rFonts w:ascii="Times New Roman" w:eastAsia="Times New Roman" w:hAnsi="Times New Roman" w:cs="Times New Roman"/>
          <w:noProof/>
          <w:sz w:val="24"/>
          <w:szCs w:val="24"/>
        </w:rPr>
        <w:drawing>
          <wp:inline distT="0" distB="0" distL="0" distR="0" wp14:anchorId="3CA92AEA" wp14:editId="40E02E1F">
            <wp:extent cx="3060480" cy="467582"/>
            <wp:effectExtent l="0" t="0" r="6985" b="8890"/>
            <wp:docPr id="1" name="Picture 1" descr="https://www.dailysignal.com/wp-content/themes/daily-signal/assets/images/brand/the-daily-signal-logo-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dailysignal.com/wp-content/themes/daily-signal/assets/images/brand/the-daily-signal-logo-black.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12831" cy="506136"/>
                    </a:xfrm>
                    <a:prstGeom prst="rect">
                      <a:avLst/>
                    </a:prstGeom>
                    <a:noFill/>
                    <a:ln>
                      <a:noFill/>
                    </a:ln>
                  </pic:spPr>
                </pic:pic>
              </a:graphicData>
            </a:graphic>
          </wp:inline>
        </w:drawing>
      </w:r>
      <w:r>
        <w:rPr>
          <w:rFonts w:ascii="Times New Roman" w:eastAsia="Times New Roman" w:hAnsi="Times New Roman" w:cs="Times New Roman"/>
          <w:sz w:val="24"/>
          <w:szCs w:val="24"/>
        </w:rPr>
        <w:t xml:space="preserve">  (The multimedia organization of The Heritage Foundation)</w:t>
      </w:r>
    </w:p>
    <w:p w14:paraId="79CE2A41" w14:textId="77777777" w:rsidR="008E0DBA" w:rsidRDefault="008E0DBA" w:rsidP="008E0DBA">
      <w:pPr>
        <w:spacing w:after="0" w:line="240" w:lineRule="auto"/>
        <w:rPr>
          <w:rFonts w:ascii="Times New Roman" w:eastAsia="Times New Roman" w:hAnsi="Times New Roman" w:cs="Times New Roman"/>
          <w:sz w:val="24"/>
          <w:szCs w:val="24"/>
        </w:rPr>
      </w:pPr>
    </w:p>
    <w:p w14:paraId="7537F972" w14:textId="77777777" w:rsidR="008E0DBA" w:rsidRPr="008E0DBA" w:rsidRDefault="008E0DBA" w:rsidP="008E0DBA">
      <w:pPr>
        <w:spacing w:after="0" w:line="240" w:lineRule="auto"/>
        <w:rPr>
          <w:rFonts w:ascii="Times New Roman" w:eastAsia="Times New Roman" w:hAnsi="Times New Roman" w:cs="Times New Roman"/>
          <w:sz w:val="24"/>
          <w:szCs w:val="24"/>
        </w:rPr>
      </w:pPr>
    </w:p>
    <w:p w14:paraId="7F6971BD" w14:textId="77777777" w:rsidR="008E0DBA" w:rsidRPr="008E0DBA" w:rsidRDefault="008E0DBA" w:rsidP="008E0DBA">
      <w:pPr>
        <w:spacing w:after="300" w:line="240" w:lineRule="auto"/>
        <w:textAlignment w:val="baseline"/>
        <w:outlineLvl w:val="0"/>
        <w:rPr>
          <w:rFonts w:ascii="Arial" w:eastAsia="Times New Roman" w:hAnsi="Arial" w:cs="Arial"/>
          <w:kern w:val="36"/>
          <w:sz w:val="36"/>
          <w:szCs w:val="36"/>
        </w:rPr>
      </w:pPr>
      <w:r w:rsidRPr="008E0DBA">
        <w:rPr>
          <w:rFonts w:ascii="Arial" w:eastAsia="Times New Roman" w:hAnsi="Arial" w:cs="Arial"/>
          <w:kern w:val="36"/>
          <w:sz w:val="36"/>
          <w:szCs w:val="36"/>
        </w:rPr>
        <w:t>How Gender Identity Extremism at UN Threatens Rights of Real Women and Girls</w:t>
      </w:r>
    </w:p>
    <w:p w14:paraId="0B3D4C16"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Grace Melton / April 08, 2019</w:t>
      </w:r>
    </w:p>
    <w:p w14:paraId="499C952C"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When thousands of delegates and activists from around the world gathered recently in New York for the United Nations’ 63rd Commission on the Status of Women, the ostensible purpose of the 12-day gathering was to discuss the priority theme of access to social protection systems and to public services and sustainable infrastructure for gender equality, and the empowerment of women and girls.</w:t>
      </w:r>
    </w:p>
    <w:p w14:paraId="1713A722"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Although too often these </w:t>
      </w:r>
      <w:hyperlink r:id="rId5" w:history="1">
        <w:r w:rsidRPr="008E0DBA">
          <w:rPr>
            <w:rFonts w:ascii="inherit" w:eastAsia="Times New Roman" w:hAnsi="inherit" w:cs="Times New Roman"/>
            <w:color w:val="0594CB"/>
            <w:sz w:val="24"/>
            <w:szCs w:val="24"/>
            <w:bdr w:val="none" w:sz="0" w:space="0" w:color="auto" w:frame="1"/>
          </w:rPr>
          <w:t>women’s conferences</w:t>
        </w:r>
      </w:hyperlink>
      <w:r w:rsidRPr="008E0DBA">
        <w:rPr>
          <w:rFonts w:ascii="inherit" w:eastAsia="Times New Roman" w:hAnsi="inherit" w:cs="Times New Roman"/>
          <w:sz w:val="24"/>
          <w:szCs w:val="24"/>
        </w:rPr>
        <w:t> fall into the trap of defining women and women’s issues solely in terms of reproduction (obviously, an important component of womanhood, though not the only one), a newer danger to addressing women’s genuine needs was on full display at this conference.</w:t>
      </w:r>
    </w:p>
    <w:p w14:paraId="67FF7746"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Rather than just reducing women’s needs and priorities to issues pertaining to their biological and reproductive capabilities (as though women care solely about sexual and reproductive health), this radical ideology now threatens to erase biological women from the discussion altogether.</w:t>
      </w:r>
    </w:p>
    <w:p w14:paraId="4E8FB3E9"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The rapidly changing and ever-expanding ideology of so-called gender identity threatens to undermine women’s economic, social, and political progress in unprecedented ways.</w:t>
      </w:r>
    </w:p>
    <w:p w14:paraId="79F5D8AB"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Nowadays, the term gender identity is used to describe an individual’s self-perception as male, female, both, neither, or something along a spectrum.</w:t>
      </w:r>
    </w:p>
    <w:p w14:paraId="67860EF5"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The word “gender” in international legal documents has historically been understood to mean biological sex (male or female), and thus laws and policies that are implemented to achieve gender equality are intended specifically to help women and girls.</w:t>
      </w:r>
    </w:p>
    <w:p w14:paraId="1CF8AA24"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However, policies that treat people based upon their gender identity undermine decades of efforts to remedy historical and societal injustices that disproportionally affect women and girls by benefiting any male who “self-identifies” as a woman.</w:t>
      </w:r>
    </w:p>
    <w:p w14:paraId="0AA3F874"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The Heritage Foundation, together with the Hands Across the Aisle Women’s Coalition, recently hosted an </w:t>
      </w:r>
      <w:hyperlink r:id="rId6" w:history="1">
        <w:r w:rsidRPr="008E0DBA">
          <w:rPr>
            <w:rFonts w:ascii="inherit" w:eastAsia="Times New Roman" w:hAnsi="inherit" w:cs="Times New Roman"/>
            <w:color w:val="0594CB"/>
            <w:sz w:val="24"/>
            <w:szCs w:val="24"/>
            <w:bdr w:val="none" w:sz="0" w:space="0" w:color="auto" w:frame="1"/>
          </w:rPr>
          <w:t>event</w:t>
        </w:r>
      </w:hyperlink>
      <w:r w:rsidRPr="008E0DBA">
        <w:rPr>
          <w:rFonts w:ascii="inherit" w:eastAsia="Times New Roman" w:hAnsi="inherit" w:cs="Times New Roman"/>
          <w:sz w:val="24"/>
          <w:szCs w:val="24"/>
        </w:rPr>
        <w:t>, “Equal or Erased?: The Rights of Women and Girls in the Age of Gender Identity.”</w:t>
      </w:r>
    </w:p>
    <w:p w14:paraId="4F7F37A8"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The panel featured a diverse panel of speakers who explained how gender-identity ideology harms women and girls.</w:t>
      </w:r>
    </w:p>
    <w:p w14:paraId="5E8706BD"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Each of the panelists—</w:t>
      </w:r>
      <w:hyperlink r:id="rId7" w:history="1">
        <w:r w:rsidRPr="008E0DBA">
          <w:rPr>
            <w:rFonts w:ascii="inherit" w:eastAsia="Times New Roman" w:hAnsi="inherit" w:cs="Times New Roman"/>
            <w:color w:val="0594CB"/>
            <w:sz w:val="24"/>
            <w:szCs w:val="24"/>
            <w:bdr w:val="none" w:sz="0" w:space="0" w:color="auto" w:frame="1"/>
          </w:rPr>
          <w:t>Dr. Monique Robles</w:t>
        </w:r>
      </w:hyperlink>
      <w:r w:rsidRPr="008E0DBA">
        <w:rPr>
          <w:rFonts w:ascii="inherit" w:eastAsia="Times New Roman" w:hAnsi="inherit" w:cs="Times New Roman"/>
          <w:sz w:val="24"/>
          <w:szCs w:val="24"/>
        </w:rPr>
        <w:t>, </w:t>
      </w:r>
      <w:hyperlink r:id="rId8" w:history="1">
        <w:r w:rsidRPr="008E0DBA">
          <w:rPr>
            <w:rFonts w:ascii="inherit" w:eastAsia="Times New Roman" w:hAnsi="inherit" w:cs="Times New Roman"/>
            <w:color w:val="0594CB"/>
            <w:sz w:val="24"/>
            <w:szCs w:val="24"/>
            <w:bdr w:val="none" w:sz="0" w:space="0" w:color="auto" w:frame="1"/>
          </w:rPr>
          <w:t>Natasha Chart</w:t>
        </w:r>
      </w:hyperlink>
      <w:r w:rsidRPr="008E0DBA">
        <w:rPr>
          <w:rFonts w:ascii="inherit" w:eastAsia="Times New Roman" w:hAnsi="inherit" w:cs="Times New Roman"/>
          <w:sz w:val="24"/>
          <w:szCs w:val="24"/>
        </w:rPr>
        <w:t>, </w:t>
      </w:r>
      <w:proofErr w:type="spellStart"/>
      <w:r w:rsidRPr="008E0DBA">
        <w:rPr>
          <w:rFonts w:ascii="inherit" w:eastAsia="Times New Roman" w:hAnsi="inherit" w:cs="Times New Roman"/>
          <w:sz w:val="24"/>
          <w:szCs w:val="24"/>
        </w:rPr>
        <w:fldChar w:fldCharType="begin"/>
      </w:r>
      <w:r w:rsidRPr="008E0DBA">
        <w:rPr>
          <w:rFonts w:ascii="inherit" w:eastAsia="Times New Roman" w:hAnsi="inherit" w:cs="Times New Roman"/>
          <w:sz w:val="24"/>
          <w:szCs w:val="24"/>
        </w:rPr>
        <w:instrText xml:space="preserve"> HYPERLINK "https://thefederalist.com/2015/11/23/a-rape-survivor-speaks-out-about-transgender-bathrooms/" </w:instrText>
      </w:r>
      <w:r w:rsidRPr="008E0DBA">
        <w:rPr>
          <w:rFonts w:ascii="inherit" w:eastAsia="Times New Roman" w:hAnsi="inherit" w:cs="Times New Roman"/>
          <w:sz w:val="24"/>
          <w:szCs w:val="24"/>
        </w:rPr>
        <w:fldChar w:fldCharType="separate"/>
      </w:r>
      <w:r w:rsidRPr="008E0DBA">
        <w:rPr>
          <w:rFonts w:ascii="inherit" w:eastAsia="Times New Roman" w:hAnsi="inherit" w:cs="Times New Roman"/>
          <w:color w:val="0594CB"/>
          <w:sz w:val="24"/>
          <w:szCs w:val="24"/>
          <w:bdr w:val="none" w:sz="0" w:space="0" w:color="auto" w:frame="1"/>
        </w:rPr>
        <w:t>Kaeley</w:t>
      </w:r>
      <w:proofErr w:type="spellEnd"/>
      <w:r w:rsidRPr="008E0DBA">
        <w:rPr>
          <w:rFonts w:ascii="inherit" w:eastAsia="Times New Roman" w:hAnsi="inherit" w:cs="Times New Roman"/>
          <w:color w:val="0594CB"/>
          <w:sz w:val="24"/>
          <w:szCs w:val="24"/>
          <w:bdr w:val="none" w:sz="0" w:space="0" w:color="auto" w:frame="1"/>
        </w:rPr>
        <w:t xml:space="preserve"> </w:t>
      </w:r>
      <w:proofErr w:type="spellStart"/>
      <w:r w:rsidRPr="008E0DBA">
        <w:rPr>
          <w:rFonts w:ascii="inherit" w:eastAsia="Times New Roman" w:hAnsi="inherit" w:cs="Times New Roman"/>
          <w:color w:val="0594CB"/>
          <w:sz w:val="24"/>
          <w:szCs w:val="24"/>
          <w:bdr w:val="none" w:sz="0" w:space="0" w:color="auto" w:frame="1"/>
        </w:rPr>
        <w:t>Triller</w:t>
      </w:r>
      <w:proofErr w:type="spellEnd"/>
      <w:r w:rsidRPr="008E0DBA">
        <w:rPr>
          <w:rFonts w:ascii="inherit" w:eastAsia="Times New Roman" w:hAnsi="inherit" w:cs="Times New Roman"/>
          <w:sz w:val="24"/>
          <w:szCs w:val="24"/>
        </w:rPr>
        <w:fldChar w:fldCharType="end"/>
      </w:r>
      <w:r w:rsidRPr="008E0DBA">
        <w:rPr>
          <w:rFonts w:ascii="inherit" w:eastAsia="Times New Roman" w:hAnsi="inherit" w:cs="Times New Roman"/>
          <w:sz w:val="24"/>
          <w:szCs w:val="24"/>
        </w:rPr>
        <w:t>, and </w:t>
      </w:r>
      <w:proofErr w:type="spellStart"/>
      <w:r w:rsidRPr="008E0DBA">
        <w:rPr>
          <w:rFonts w:ascii="inherit" w:eastAsia="Times New Roman" w:hAnsi="inherit" w:cs="Times New Roman"/>
          <w:sz w:val="24"/>
          <w:szCs w:val="24"/>
        </w:rPr>
        <w:fldChar w:fldCharType="begin"/>
      </w:r>
      <w:r w:rsidRPr="008E0DBA">
        <w:rPr>
          <w:rFonts w:ascii="inherit" w:eastAsia="Times New Roman" w:hAnsi="inherit" w:cs="Times New Roman"/>
          <w:sz w:val="24"/>
          <w:szCs w:val="24"/>
        </w:rPr>
        <w:instrText xml:space="preserve"> HYPERLINK "https://www.thepublicdiscourse.com/2015/06/15108/" </w:instrText>
      </w:r>
      <w:r w:rsidRPr="008E0DBA">
        <w:rPr>
          <w:rFonts w:ascii="inherit" w:eastAsia="Times New Roman" w:hAnsi="inherit" w:cs="Times New Roman"/>
          <w:sz w:val="24"/>
          <w:szCs w:val="24"/>
        </w:rPr>
        <w:fldChar w:fldCharType="separate"/>
      </w:r>
      <w:r w:rsidRPr="008E0DBA">
        <w:rPr>
          <w:rFonts w:ascii="inherit" w:eastAsia="Times New Roman" w:hAnsi="inherit" w:cs="Times New Roman"/>
          <w:color w:val="0594CB"/>
          <w:sz w:val="24"/>
          <w:szCs w:val="24"/>
          <w:bdr w:val="none" w:sz="0" w:space="0" w:color="auto" w:frame="1"/>
        </w:rPr>
        <w:t>Nuriddeen</w:t>
      </w:r>
      <w:proofErr w:type="spellEnd"/>
      <w:r w:rsidRPr="008E0DBA">
        <w:rPr>
          <w:rFonts w:ascii="inherit" w:eastAsia="Times New Roman" w:hAnsi="inherit" w:cs="Times New Roman"/>
          <w:color w:val="0594CB"/>
          <w:sz w:val="24"/>
          <w:szCs w:val="24"/>
          <w:bdr w:val="none" w:sz="0" w:space="0" w:color="auto" w:frame="1"/>
        </w:rPr>
        <w:t xml:space="preserve"> Knight</w:t>
      </w:r>
      <w:r w:rsidRPr="008E0DBA">
        <w:rPr>
          <w:rFonts w:ascii="inherit" w:eastAsia="Times New Roman" w:hAnsi="inherit" w:cs="Times New Roman"/>
          <w:sz w:val="24"/>
          <w:szCs w:val="24"/>
        </w:rPr>
        <w:fldChar w:fldCharType="end"/>
      </w:r>
      <w:r w:rsidRPr="008E0DBA">
        <w:rPr>
          <w:rFonts w:ascii="inherit" w:eastAsia="Times New Roman" w:hAnsi="inherit" w:cs="Times New Roman"/>
          <w:sz w:val="24"/>
          <w:szCs w:val="24"/>
        </w:rPr>
        <w:t>—generally disagree with each other on many issues on political or religious grounds, but were united in their conviction that gender identity ideology, and the policies it demands, pose real threats to women and girls.</w:t>
      </w:r>
    </w:p>
    <w:p w14:paraId="7D1A7146"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“In the U.S., doctors are giving 13-year-old girls mastectomies, throwing 14-year-old girls into menopause, and surgically castrating 16-year-old boys,” said Chart, board chairwoman of the Women’s Liberation Front and writer at Feminist Current. “So, some of us will still say that gender identity and self-identification are a form of hateful discrimination against women, and a threat to children, and a silencing of our complaints about sexual harassment.”</w:t>
      </w:r>
    </w:p>
    <w:p w14:paraId="7A788ADB"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The panelists’ statements in defense of biological women provoked strong reactions from transgender activists, many of whom strenuously oppose the idea that women’s rights and private spaces be exclusive to women. </w:t>
      </w:r>
    </w:p>
    <w:p w14:paraId="7D73DA48"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lastRenderedPageBreak/>
        <w:t>Those activists dominated the question-and-answer portion of the event with a variety of personal attacks and emotional statements barely disguised as questions, and some walked out of the room before even waiting to hear the panelists respond.</w:t>
      </w:r>
    </w:p>
    <w:p w14:paraId="6089FD8E"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Pushback on this assertion—that a conference on women ought to be able to focus on the needs and challenges of actual, biological women—was even more heated in the Twittersphere.</w:t>
      </w:r>
    </w:p>
    <w:p w14:paraId="28D1251A"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For example, in response to a similar </w:t>
      </w:r>
      <w:hyperlink r:id="rId9" w:history="1">
        <w:r w:rsidRPr="008E0DBA">
          <w:rPr>
            <w:rFonts w:ascii="inherit" w:eastAsia="Times New Roman" w:hAnsi="inherit" w:cs="Times New Roman"/>
            <w:color w:val="0594CB"/>
            <w:sz w:val="24"/>
            <w:szCs w:val="24"/>
            <w:bdr w:val="none" w:sz="0" w:space="0" w:color="auto" w:frame="1"/>
          </w:rPr>
          <w:t>event</w:t>
        </w:r>
      </w:hyperlink>
      <w:r w:rsidRPr="008E0DBA">
        <w:rPr>
          <w:rFonts w:ascii="inherit" w:eastAsia="Times New Roman" w:hAnsi="inherit" w:cs="Times New Roman"/>
          <w:sz w:val="24"/>
          <w:szCs w:val="24"/>
        </w:rPr>
        <w:t> that the Holy See co-sponsored with Heritage, the </w:t>
      </w:r>
      <w:hyperlink r:id="rId10" w:history="1">
        <w:r w:rsidRPr="008E0DBA">
          <w:rPr>
            <w:rFonts w:ascii="inherit" w:eastAsia="Times New Roman" w:hAnsi="inherit" w:cs="Times New Roman"/>
            <w:color w:val="0594CB"/>
            <w:sz w:val="24"/>
            <w:szCs w:val="24"/>
            <w:bdr w:val="none" w:sz="0" w:space="0" w:color="auto" w:frame="1"/>
          </w:rPr>
          <w:t>Women’s March Global</w:t>
        </w:r>
      </w:hyperlink>
      <w:r w:rsidRPr="008E0DBA">
        <w:rPr>
          <w:rFonts w:ascii="inherit" w:eastAsia="Times New Roman" w:hAnsi="inherit" w:cs="Times New Roman"/>
          <w:sz w:val="24"/>
          <w:szCs w:val="24"/>
        </w:rPr>
        <w:t> tweeted under the hashtag #</w:t>
      </w:r>
      <w:proofErr w:type="spellStart"/>
      <w:r w:rsidRPr="008E0DBA">
        <w:rPr>
          <w:rFonts w:ascii="inherit" w:eastAsia="Times New Roman" w:hAnsi="inherit" w:cs="Times New Roman"/>
          <w:sz w:val="24"/>
          <w:szCs w:val="24"/>
        </w:rPr>
        <w:t>BanTheBinary</w:t>
      </w:r>
      <w:proofErr w:type="spellEnd"/>
      <w:r w:rsidRPr="008E0DBA">
        <w:rPr>
          <w:rFonts w:ascii="inherit" w:eastAsia="Times New Roman" w:hAnsi="inherit" w:cs="Times New Roman"/>
          <w:sz w:val="24"/>
          <w:szCs w:val="24"/>
        </w:rPr>
        <w:t xml:space="preserve"> and asserted that “Trans Women Are Women. This is not up for debate,” lamenting “</w:t>
      </w:r>
      <w:hyperlink r:id="rId11" w:history="1">
        <w:r w:rsidRPr="008E0DBA">
          <w:rPr>
            <w:rFonts w:ascii="inherit" w:eastAsia="Times New Roman" w:hAnsi="inherit" w:cs="Times New Roman"/>
            <w:color w:val="0594CB"/>
            <w:sz w:val="24"/>
            <w:szCs w:val="24"/>
            <w:bdr w:val="none" w:sz="0" w:space="0" w:color="auto" w:frame="1"/>
          </w:rPr>
          <w:t>trans exclusionary discourse</w:t>
        </w:r>
      </w:hyperlink>
      <w:r w:rsidRPr="008E0DBA">
        <w:rPr>
          <w:rFonts w:ascii="inherit" w:eastAsia="Times New Roman" w:hAnsi="inherit" w:cs="Times New Roman"/>
          <w:sz w:val="24"/>
          <w:szCs w:val="24"/>
        </w:rPr>
        <w:t>.”</w:t>
      </w:r>
    </w:p>
    <w:p w14:paraId="7A891B3A"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That’s part of a growing trend at the United Nations. LGBT activists and their liberal allies in the international human rights community, both nongovernmental organizations and member states, have succeeded in persuading a number of </w:t>
      </w:r>
      <w:hyperlink r:id="rId12" w:history="1">
        <w:r w:rsidRPr="008E0DBA">
          <w:rPr>
            <w:rFonts w:ascii="inherit" w:eastAsia="Times New Roman" w:hAnsi="inherit" w:cs="Times New Roman"/>
            <w:color w:val="0594CB"/>
            <w:sz w:val="24"/>
            <w:szCs w:val="24"/>
            <w:bdr w:val="none" w:sz="0" w:space="0" w:color="auto" w:frame="1"/>
          </w:rPr>
          <w:t>U.N. entities to reinterpret</w:t>
        </w:r>
      </w:hyperlink>
      <w:r w:rsidRPr="008E0DBA">
        <w:rPr>
          <w:rFonts w:ascii="inherit" w:eastAsia="Times New Roman" w:hAnsi="inherit" w:cs="Times New Roman"/>
          <w:sz w:val="24"/>
          <w:szCs w:val="24"/>
        </w:rPr>
        <w:t> “sex” in foundational treaties such as the International Covenant on Civil and Political Rights to </w:t>
      </w:r>
      <w:hyperlink r:id="rId13" w:history="1">
        <w:r w:rsidRPr="008E0DBA">
          <w:rPr>
            <w:rFonts w:ascii="inherit" w:eastAsia="Times New Roman" w:hAnsi="inherit" w:cs="Times New Roman"/>
            <w:color w:val="0594CB"/>
            <w:sz w:val="24"/>
            <w:szCs w:val="24"/>
            <w:bdr w:val="none" w:sz="0" w:space="0" w:color="auto" w:frame="1"/>
          </w:rPr>
          <w:t>include</w:t>
        </w:r>
      </w:hyperlink>
      <w:r w:rsidRPr="008E0DBA">
        <w:rPr>
          <w:rFonts w:ascii="inherit" w:eastAsia="Times New Roman" w:hAnsi="inherit" w:cs="Times New Roman"/>
          <w:sz w:val="24"/>
          <w:szCs w:val="24"/>
        </w:rPr>
        <w:t> “sexual orientation.”</w:t>
      </w:r>
    </w:p>
    <w:p w14:paraId="78E67687"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Similarly, the committee that monitors implementation of, and compliance with, the Convention on the Elimination of all Forms of Discrimination Against Women treaty has issued a number of general recommendations incorporating gender identity into its guidance on issues, such as women’s </w:t>
      </w:r>
      <w:hyperlink r:id="rId14" w:history="1">
        <w:r w:rsidRPr="008E0DBA">
          <w:rPr>
            <w:rFonts w:ascii="inherit" w:eastAsia="Times New Roman" w:hAnsi="inherit" w:cs="Times New Roman"/>
            <w:color w:val="0594CB"/>
            <w:sz w:val="24"/>
            <w:szCs w:val="24"/>
            <w:bdr w:val="none" w:sz="0" w:space="0" w:color="auto" w:frame="1"/>
          </w:rPr>
          <w:t>access to justice</w:t>
        </w:r>
      </w:hyperlink>
      <w:r w:rsidRPr="008E0DBA">
        <w:rPr>
          <w:rFonts w:ascii="inherit" w:eastAsia="Times New Roman" w:hAnsi="inherit" w:cs="Times New Roman"/>
          <w:sz w:val="24"/>
          <w:szCs w:val="24"/>
        </w:rPr>
        <w:t>, </w:t>
      </w:r>
      <w:hyperlink r:id="rId15" w:history="1">
        <w:r w:rsidRPr="008E0DBA">
          <w:rPr>
            <w:rFonts w:ascii="inherit" w:eastAsia="Times New Roman" w:hAnsi="inherit" w:cs="Times New Roman"/>
            <w:color w:val="0594CB"/>
            <w:sz w:val="24"/>
            <w:szCs w:val="24"/>
            <w:bdr w:val="none" w:sz="0" w:space="0" w:color="auto" w:frame="1"/>
          </w:rPr>
          <w:t>education</w:t>
        </w:r>
      </w:hyperlink>
      <w:r w:rsidRPr="008E0DBA">
        <w:rPr>
          <w:rFonts w:ascii="inherit" w:eastAsia="Times New Roman" w:hAnsi="inherit" w:cs="Times New Roman"/>
          <w:sz w:val="24"/>
          <w:szCs w:val="24"/>
        </w:rPr>
        <w:t>, combating </w:t>
      </w:r>
      <w:hyperlink r:id="rId16" w:history="1">
        <w:r w:rsidRPr="008E0DBA">
          <w:rPr>
            <w:rFonts w:ascii="inherit" w:eastAsia="Times New Roman" w:hAnsi="inherit" w:cs="Times New Roman"/>
            <w:color w:val="0594CB"/>
            <w:sz w:val="24"/>
            <w:szCs w:val="24"/>
            <w:bdr w:val="none" w:sz="0" w:space="0" w:color="auto" w:frame="1"/>
          </w:rPr>
          <w:t>gender-based violence,</w:t>
        </w:r>
      </w:hyperlink>
      <w:r w:rsidRPr="008E0DBA">
        <w:rPr>
          <w:rFonts w:ascii="inherit" w:eastAsia="Times New Roman" w:hAnsi="inherit" w:cs="Times New Roman"/>
          <w:sz w:val="24"/>
          <w:szCs w:val="24"/>
        </w:rPr>
        <w:t> and even </w:t>
      </w:r>
      <w:hyperlink r:id="rId17" w:history="1">
        <w:r w:rsidRPr="008E0DBA">
          <w:rPr>
            <w:rFonts w:ascii="inherit" w:eastAsia="Times New Roman" w:hAnsi="inherit" w:cs="Times New Roman"/>
            <w:color w:val="0594CB"/>
            <w:sz w:val="24"/>
            <w:szCs w:val="24"/>
            <w:bdr w:val="none" w:sz="0" w:space="0" w:color="auto" w:frame="1"/>
          </w:rPr>
          <w:t>climate change</w:t>
        </w:r>
      </w:hyperlink>
      <w:r w:rsidRPr="008E0DBA">
        <w:rPr>
          <w:rFonts w:ascii="inherit" w:eastAsia="Times New Roman" w:hAnsi="inherit" w:cs="Times New Roman"/>
          <w:sz w:val="24"/>
          <w:szCs w:val="24"/>
        </w:rPr>
        <w:t>.</w:t>
      </w:r>
    </w:p>
    <w:p w14:paraId="3C5E1FFD"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Additionally, transgender activists recently unveiled an updated supplement to the controversial Yogyakarta Principles, the “</w:t>
      </w:r>
      <w:hyperlink r:id="rId18" w:history="1">
        <w:r w:rsidRPr="008E0DBA">
          <w:rPr>
            <w:rFonts w:ascii="inherit" w:eastAsia="Times New Roman" w:hAnsi="inherit" w:cs="Times New Roman"/>
            <w:color w:val="0594CB"/>
            <w:sz w:val="24"/>
            <w:szCs w:val="24"/>
            <w:bdr w:val="none" w:sz="0" w:space="0" w:color="auto" w:frame="1"/>
          </w:rPr>
          <w:t>YP plus 10</w:t>
        </w:r>
      </w:hyperlink>
      <w:r w:rsidRPr="008E0DBA">
        <w:rPr>
          <w:rFonts w:ascii="inherit" w:eastAsia="Times New Roman" w:hAnsi="inherit" w:cs="Times New Roman"/>
          <w:sz w:val="24"/>
          <w:szCs w:val="24"/>
        </w:rPr>
        <w:t>,” to cover “sexual orientation and gender identity and the recognition of the distinct and intersectional grounds of gender expression and sex characteristics.”</w:t>
      </w:r>
    </w:p>
    <w:p w14:paraId="01FE0C00"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“YP plus 10” recommendations include allowing individuals to legally register according to gender identity without use of birth certificates or other documents and to allow name changes without taking into account psycho-medical diagnoses or a person’s criminal record.</w:t>
      </w:r>
    </w:p>
    <w:p w14:paraId="0A1EFC5F"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As feminists around the world have warned, such a policy would allow male sex offenders to erase their criminal pasts from the public record by renaming themselves as women. </w:t>
      </w:r>
    </w:p>
    <w:p w14:paraId="61C48DF9"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The YP plus 10 also includes a demand to allow </w:t>
      </w:r>
      <w:hyperlink r:id="rId19" w:history="1">
        <w:r w:rsidRPr="008E0DBA">
          <w:rPr>
            <w:rFonts w:ascii="inherit" w:eastAsia="Times New Roman" w:hAnsi="inherit" w:cs="Times New Roman"/>
            <w:color w:val="0594CB"/>
            <w:sz w:val="24"/>
            <w:szCs w:val="24"/>
            <w:bdr w:val="none" w:sz="0" w:space="0" w:color="auto" w:frame="1"/>
          </w:rPr>
          <w:t>male athletes</w:t>
        </w:r>
      </w:hyperlink>
      <w:r w:rsidRPr="008E0DBA">
        <w:rPr>
          <w:rFonts w:ascii="inherit" w:eastAsia="Times New Roman" w:hAnsi="inherit" w:cs="Times New Roman"/>
          <w:sz w:val="24"/>
          <w:szCs w:val="24"/>
        </w:rPr>
        <w:t> to self-identify and </w:t>
      </w:r>
      <w:hyperlink r:id="rId20" w:history="1">
        <w:r w:rsidRPr="008E0DBA">
          <w:rPr>
            <w:rFonts w:ascii="inherit" w:eastAsia="Times New Roman" w:hAnsi="inherit" w:cs="Times New Roman"/>
            <w:color w:val="0594CB"/>
            <w:sz w:val="24"/>
            <w:szCs w:val="24"/>
            <w:bdr w:val="none" w:sz="0" w:space="0" w:color="auto" w:frame="1"/>
          </w:rPr>
          <w:t>compete as women</w:t>
        </w:r>
      </w:hyperlink>
      <w:r w:rsidRPr="008E0DBA">
        <w:rPr>
          <w:rFonts w:ascii="inherit" w:eastAsia="Times New Roman" w:hAnsi="inherit" w:cs="Times New Roman"/>
          <w:sz w:val="24"/>
          <w:szCs w:val="24"/>
        </w:rPr>
        <w:t>. Far from being an obscure document, several U.N. special rapporteurs and independent experts either drafted or signed the Yogyakarta Principles and are well-positioned to incorporate them into U.N. documents.</w:t>
      </w:r>
    </w:p>
    <w:p w14:paraId="4C876289"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Individuals who identity as transgender—or anything else—must be treated with dignity and respect, and are entitled to the same human rights and protections as anyone else. However, these human rights and legal protections—such as the rights to life, expression, and assembly, and freedom from torture and inhumane treatment—apply to all human beings by virtue of our humanity, </w:t>
      </w:r>
      <w:hyperlink r:id="rId21" w:history="1">
        <w:r w:rsidRPr="008E0DBA">
          <w:rPr>
            <w:rFonts w:ascii="inherit" w:eastAsia="Times New Roman" w:hAnsi="inherit" w:cs="Times New Roman"/>
            <w:color w:val="0594CB"/>
            <w:sz w:val="24"/>
            <w:szCs w:val="24"/>
            <w:bdr w:val="none" w:sz="0" w:space="0" w:color="auto" w:frame="1"/>
          </w:rPr>
          <w:t>not because of membership</w:t>
        </w:r>
      </w:hyperlink>
      <w:r w:rsidRPr="008E0DBA">
        <w:rPr>
          <w:rFonts w:ascii="inherit" w:eastAsia="Times New Roman" w:hAnsi="inherit" w:cs="Times New Roman"/>
          <w:sz w:val="24"/>
          <w:szCs w:val="24"/>
        </w:rPr>
        <w:t> in any particular group. </w:t>
      </w:r>
    </w:p>
    <w:p w14:paraId="00DC1191"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Furthermore, there’s strong and growing resistance in the highest ranks of U.N. leadership to hearing the </w:t>
      </w:r>
      <w:hyperlink r:id="rId22" w:history="1">
        <w:r w:rsidRPr="008E0DBA">
          <w:rPr>
            <w:rFonts w:ascii="inherit" w:eastAsia="Times New Roman" w:hAnsi="inherit" w:cs="Times New Roman"/>
            <w:color w:val="0594CB"/>
            <w:sz w:val="24"/>
            <w:szCs w:val="24"/>
            <w:bdr w:val="none" w:sz="0" w:space="0" w:color="auto" w:frame="1"/>
          </w:rPr>
          <w:t>voices of member states</w:t>
        </w:r>
      </w:hyperlink>
      <w:r w:rsidRPr="008E0DBA">
        <w:rPr>
          <w:rFonts w:ascii="inherit" w:eastAsia="Times New Roman" w:hAnsi="inherit" w:cs="Times New Roman"/>
          <w:sz w:val="24"/>
          <w:szCs w:val="24"/>
        </w:rPr>
        <w:t> that oppose the progressive redefinition of terms such as “family,” “gender,” “health,” “life,” and human rights.</w:t>
      </w:r>
    </w:p>
    <w:p w14:paraId="159A9B74"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Take, for example, the U.N.’s </w:t>
      </w:r>
      <w:hyperlink r:id="rId23" w:history="1">
        <w:r w:rsidRPr="008E0DBA">
          <w:rPr>
            <w:rFonts w:ascii="inherit" w:eastAsia="Times New Roman" w:hAnsi="inherit" w:cs="Times New Roman"/>
            <w:color w:val="0594CB"/>
            <w:sz w:val="24"/>
            <w:szCs w:val="24"/>
            <w:bdr w:val="none" w:sz="0" w:space="0" w:color="auto" w:frame="1"/>
          </w:rPr>
          <w:t>Free and Equal Campaign</w:t>
        </w:r>
      </w:hyperlink>
      <w:r w:rsidRPr="008E0DBA">
        <w:rPr>
          <w:rFonts w:ascii="inherit" w:eastAsia="Times New Roman" w:hAnsi="inherit" w:cs="Times New Roman"/>
          <w:sz w:val="24"/>
          <w:szCs w:val="24"/>
        </w:rPr>
        <w:t>, a well-funded initiative with the weight of the Office of the United Nations High Commissioner for Human Rights behind it to promote controversial issues, such as same-sex marriage, the criminalization of “hate speech,” and the affirmation of LGBT lifestyles.</w:t>
      </w:r>
    </w:p>
    <w:p w14:paraId="674A7852"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Those policies are anathema to many U.N. member states, particularly in the developing world, and are prime examples of the sort of </w:t>
      </w:r>
      <w:hyperlink r:id="rId24" w:history="1">
        <w:r w:rsidRPr="008E0DBA">
          <w:rPr>
            <w:rFonts w:ascii="inherit" w:eastAsia="Times New Roman" w:hAnsi="inherit" w:cs="Times New Roman"/>
            <w:color w:val="0594CB"/>
            <w:sz w:val="24"/>
            <w:szCs w:val="24"/>
            <w:bdr w:val="none" w:sz="0" w:space="0" w:color="auto" w:frame="1"/>
          </w:rPr>
          <w:t>ideological colonization</w:t>
        </w:r>
      </w:hyperlink>
      <w:r w:rsidRPr="008E0DBA">
        <w:rPr>
          <w:rFonts w:ascii="inherit" w:eastAsia="Times New Roman" w:hAnsi="inherit" w:cs="Times New Roman"/>
          <w:sz w:val="24"/>
          <w:szCs w:val="24"/>
        </w:rPr>
        <w:t> that ruffles feathers abroad.</w:t>
      </w:r>
    </w:p>
    <w:p w14:paraId="2EF6DC8F" w14:textId="77777777" w:rsidR="008E0DBA" w:rsidRPr="008E0DBA" w:rsidRDefault="008E0DBA" w:rsidP="008E0DBA">
      <w:pPr>
        <w:spacing w:after="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The U.S. </w:t>
      </w:r>
      <w:hyperlink r:id="rId25" w:history="1">
        <w:r w:rsidRPr="008E0DBA">
          <w:rPr>
            <w:rFonts w:ascii="inherit" w:eastAsia="Times New Roman" w:hAnsi="inherit" w:cs="Times New Roman"/>
            <w:color w:val="0594CB"/>
            <w:sz w:val="24"/>
            <w:szCs w:val="24"/>
            <w:bdr w:val="none" w:sz="0" w:space="0" w:color="auto" w:frame="1"/>
          </w:rPr>
          <w:t>statement</w:t>
        </w:r>
      </w:hyperlink>
      <w:r w:rsidRPr="008E0DBA">
        <w:rPr>
          <w:rFonts w:ascii="inherit" w:eastAsia="Times New Roman" w:hAnsi="inherit" w:cs="Times New Roman"/>
          <w:sz w:val="24"/>
          <w:szCs w:val="24"/>
        </w:rPr>
        <w:t> at the conclusion of the Commission on the Status of Women rightly emphasized the American priority of meeting the real needs of women, </w:t>
      </w:r>
      <w:hyperlink r:id="rId26" w:history="1">
        <w:r w:rsidRPr="008E0DBA">
          <w:rPr>
            <w:rFonts w:ascii="inherit" w:eastAsia="Times New Roman" w:hAnsi="inherit" w:cs="Times New Roman"/>
            <w:color w:val="0594CB"/>
            <w:sz w:val="24"/>
            <w:szCs w:val="24"/>
            <w:bdr w:val="none" w:sz="0" w:space="0" w:color="auto" w:frame="1"/>
          </w:rPr>
          <w:t>despite efforts</w:t>
        </w:r>
      </w:hyperlink>
      <w:r w:rsidRPr="008E0DBA">
        <w:rPr>
          <w:rFonts w:ascii="inherit" w:eastAsia="Times New Roman" w:hAnsi="inherit" w:cs="Times New Roman"/>
          <w:sz w:val="24"/>
          <w:szCs w:val="24"/>
        </w:rPr>
        <w:t> by radicals to promote abortion or the transgender agenda.</w:t>
      </w:r>
    </w:p>
    <w:p w14:paraId="4F78385C"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When Western countries and U.N. bureaucrats assert special privileges for particular favored identity groups through new readings of treaties, they undermine the universality of human rights and the legitimacy of the human rights movement.</w:t>
      </w:r>
    </w:p>
    <w:p w14:paraId="5216F62A" w14:textId="77777777" w:rsidR="008E0DBA" w:rsidRPr="008E0DBA" w:rsidRDefault="008E0DBA" w:rsidP="008E0DBA">
      <w:pPr>
        <w:spacing w:after="300" w:line="240" w:lineRule="auto"/>
        <w:textAlignment w:val="baseline"/>
        <w:rPr>
          <w:rFonts w:ascii="inherit" w:eastAsia="Times New Roman" w:hAnsi="inherit" w:cs="Times New Roman"/>
          <w:sz w:val="24"/>
          <w:szCs w:val="24"/>
        </w:rPr>
      </w:pPr>
      <w:r w:rsidRPr="008E0DBA">
        <w:rPr>
          <w:rFonts w:ascii="inherit" w:eastAsia="Times New Roman" w:hAnsi="inherit" w:cs="Times New Roman"/>
          <w:sz w:val="24"/>
          <w:szCs w:val="24"/>
        </w:rPr>
        <w:t>The U.S. must insist that the U.N. bureaucracy and various other entities stay within their mandates so as to safeguard fundamental rights for all men, women, and children.</w:t>
      </w:r>
    </w:p>
    <w:p w14:paraId="55EE93CE" w14:textId="77777777" w:rsidR="003E7C38" w:rsidRDefault="003E7C38"/>
    <w:sectPr w:rsidR="003E7C38" w:rsidSect="008E0DBA">
      <w:pgSz w:w="12240" w:h="15840"/>
      <w:pgMar w:top="288" w:right="288" w:bottom="288" w:left="2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DBA"/>
    <w:rsid w:val="000E733D"/>
    <w:rsid w:val="003E7C38"/>
    <w:rsid w:val="008E0DBA"/>
    <w:rsid w:val="00A91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80065"/>
  <w15:chartTrackingRefBased/>
  <w15:docId w15:val="{CC48C045-A9CE-414E-915A-E3A140FDD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39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eministcurrent.com/author/natasha-chart/" TargetMode="External"/><Relationship Id="rId13" Type="http://schemas.openxmlformats.org/officeDocument/2006/relationships/hyperlink" Target="https://www.ohchr.org/Documents/Publications/SDecisionsVol5en.pdf" TargetMode="External"/><Relationship Id="rId18" Type="http://schemas.openxmlformats.org/officeDocument/2006/relationships/hyperlink" Target="http://yogyakartaprinciples.org/principles-en/yp10/" TargetMode="External"/><Relationship Id="rId26" Type="http://schemas.openxmlformats.org/officeDocument/2006/relationships/hyperlink" Target="https://www.passblue.com/2019/03/24/the-us-goes-bonkers-at-the-un-womens-conference/" TargetMode="External"/><Relationship Id="rId3" Type="http://schemas.openxmlformats.org/officeDocument/2006/relationships/webSettings" Target="webSettings.xml"/><Relationship Id="rId21" Type="http://schemas.openxmlformats.org/officeDocument/2006/relationships/hyperlink" Target="https://www.heritage.org/global-politics/report/the-us-must-protect-human-rights-all-individuals-based-human-dignity-not" TargetMode="External"/><Relationship Id="rId7" Type="http://schemas.openxmlformats.org/officeDocument/2006/relationships/hyperlink" Target="https://lozierinstitute.org/team-member/monique-robles-m-d/" TargetMode="External"/><Relationship Id="rId12" Type="http://schemas.openxmlformats.org/officeDocument/2006/relationships/hyperlink" Target="https://ilga.org/downloads/2014_UN_Treaty_Bodies_SOGIEI_References_clean.pdf" TargetMode="External"/><Relationship Id="rId17" Type="http://schemas.openxmlformats.org/officeDocument/2006/relationships/hyperlink" Target="http://docstore.ohchr.org/SelfServices/FilesHandler.ashx?enc=6QkG1d%2fPPRiCAqhKb7yhsldCrOlUTvLRFDjh6%2fx1pWBTkD7GV%2bcNsNftZ%2bJbJpcK57lzRDD2Qf98FJtC1CfsOlkcbU7v9QQ22kC%2fsZ5aKxoF6pZ8eXXoTwlEiO9DMbDv" TargetMode="External"/><Relationship Id="rId25" Type="http://schemas.openxmlformats.org/officeDocument/2006/relationships/hyperlink" Target="https://usun.state.gov/remarks/8982" TargetMode="External"/><Relationship Id="rId2" Type="http://schemas.openxmlformats.org/officeDocument/2006/relationships/settings" Target="settings.xml"/><Relationship Id="rId16" Type="http://schemas.openxmlformats.org/officeDocument/2006/relationships/hyperlink" Target="http://docstore.ohchr.org/SelfServices/FilesHandler.ashx?enc=6QkG1d%2fPPRiCAqhKb7yhsldCrOlUTvLRFDjh6%2fx1pWAeqJn4T68N1uqnZjLbtFua2OBKh3UEqlB%2fCyQIg86A6bUD6S2nt0Ii%2bndbh67tt1%2bO99yEEGWYpmnzM8vDxmwt" TargetMode="External"/><Relationship Id="rId20" Type="http://schemas.openxmlformats.org/officeDocument/2006/relationships/hyperlink" Target="https://www.thetimes.co.uk/article/the-rules-on-trans-athletes-reward-cheats-and-punish-the-innocent-klsrq6h3x" TargetMode="External"/><Relationship Id="rId1" Type="http://schemas.openxmlformats.org/officeDocument/2006/relationships/styles" Target="styles.xml"/><Relationship Id="rId6" Type="http://schemas.openxmlformats.org/officeDocument/2006/relationships/hyperlink" Target="https://www.youtube.com/watch?v=fBH-2yKIjPM&amp;feature=youtu.be" TargetMode="External"/><Relationship Id="rId11" Type="http://schemas.openxmlformats.org/officeDocument/2006/relationships/hyperlink" Target="https://medium.com/womens-march-global/trans-exclusionary-discourse-at-csw63-8ac6446217e" TargetMode="External"/><Relationship Id="rId24" Type="http://schemas.openxmlformats.org/officeDocument/2006/relationships/hyperlink" Target="https://www.thenewamerican.com/usnews/foreign-policy/item/22189-obama-spent-700-million-promoting-homosexuality-overseas-and-bought-ill-will" TargetMode="External"/><Relationship Id="rId5" Type="http://schemas.openxmlformats.org/officeDocument/2006/relationships/hyperlink" Target="https://www.heritage.org/global-politics/report/un-radicals-regret-lack-progress-and-seek-feminize-post-2015-development" TargetMode="External"/><Relationship Id="rId15" Type="http://schemas.openxmlformats.org/officeDocument/2006/relationships/hyperlink" Target="http://docstore.ohchr.org/SelfServices/FilesHandler.ashx?enc=6QkG1d%2fPPRiCAqhKb7yhsldCrOlUTvLRFDjh6%2fx1pWDgG%2fSFCLpV5OLQVxCscp3MZM6j7xfSLU3eour%2bfQfEzg63VJG4W%2b869aQ22uce%2bSyQK7vFFa%2fuGduuqnFzK7%2bn" TargetMode="External"/><Relationship Id="rId23" Type="http://schemas.openxmlformats.org/officeDocument/2006/relationships/hyperlink" Target="https://www.unfe.org/campaigns/" TargetMode="External"/><Relationship Id="rId28" Type="http://schemas.openxmlformats.org/officeDocument/2006/relationships/theme" Target="theme/theme1.xml"/><Relationship Id="rId10" Type="http://schemas.openxmlformats.org/officeDocument/2006/relationships/hyperlink" Target="https://twitter.com/WM_Global/status/1108397932091490305" TargetMode="External"/><Relationship Id="rId19" Type="http://schemas.openxmlformats.org/officeDocument/2006/relationships/hyperlink" Target="https://ilga.org/sport-human-rights-2018-sporting-chance-forum-zhan-chiam" TargetMode="External"/><Relationship Id="rId4" Type="http://schemas.openxmlformats.org/officeDocument/2006/relationships/image" Target="media/image1.png"/><Relationship Id="rId9" Type="http://schemas.openxmlformats.org/officeDocument/2006/relationships/hyperlink" Target="http://webtv.un.org/search/gender-equality-and-gender-ideology-protecting-women-and-girls-csw63-side-event/6016177611001/?term=&amp;lan=english&amp;page=6" TargetMode="External"/><Relationship Id="rId14" Type="http://schemas.openxmlformats.org/officeDocument/2006/relationships/hyperlink" Target="http://docstore.ohchr.org/SelfServices/FilesHandler.ashx?enc=6QkG1d%2fPPRiCAqhKb7yhsldCrOlUTvLRFDjh6%2fx1pWCd9kc8NuhsZOT1QuzhrDy1rIpOgSyxJmK%2fSo2p3MpTl9diLSL02wtx8JPse1mlicqCgIo0em30unjIY%2fnkmn3g" TargetMode="External"/><Relationship Id="rId22" Type="http://schemas.openxmlformats.org/officeDocument/2006/relationships/hyperlink" Target="https://c-fam.org/friday_fax/un-commission-ends-acrimony-charges-harassment-bullyin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Avina</dc:creator>
  <cp:keywords/>
  <dc:description/>
  <cp:lastModifiedBy>Leah Edwards</cp:lastModifiedBy>
  <cp:revision>2</cp:revision>
  <dcterms:created xsi:type="dcterms:W3CDTF">2019-06-01T18:40:00Z</dcterms:created>
  <dcterms:modified xsi:type="dcterms:W3CDTF">2019-06-01T18:40:00Z</dcterms:modified>
</cp:coreProperties>
</file>